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7A" w:rsidRPr="0045577A" w:rsidRDefault="0045577A" w:rsidP="0045577A">
      <w:pPr>
        <w:pStyle w:val="a3"/>
        <w:rPr>
          <w:b/>
          <w:color w:val="020202"/>
          <w:sz w:val="28"/>
          <w:szCs w:val="28"/>
        </w:rPr>
      </w:pPr>
      <w:r w:rsidRPr="0045577A">
        <w:rPr>
          <w:b/>
          <w:color w:val="020202"/>
          <w:sz w:val="28"/>
          <w:szCs w:val="28"/>
        </w:rPr>
        <w:t>Уважаемые коллеги, мы рады сообщить, что в системе непрерывного медицинского образования появились первые электронные образовательные модули, аккредитованные по специальности «Управление сестринской деятельностью».</w:t>
      </w:r>
      <w:bookmarkStart w:id="0" w:name="_GoBack"/>
      <w:bookmarkEnd w:id="0"/>
    </w:p>
    <w:p w:rsidR="0045577A" w:rsidRPr="0045577A" w:rsidRDefault="0045577A" w:rsidP="0045577A">
      <w:pPr>
        <w:pStyle w:val="a3"/>
        <w:rPr>
          <w:color w:val="020202"/>
          <w:sz w:val="28"/>
          <w:szCs w:val="28"/>
        </w:rPr>
      </w:pPr>
      <w:r w:rsidRPr="0045577A">
        <w:rPr>
          <w:color w:val="020202"/>
          <w:sz w:val="28"/>
          <w:szCs w:val="28"/>
        </w:rPr>
        <w:t>Электронный образовательный материал подготовлен членами РАМС, прошел надлежащую экспертизу и аккредитован в системе НМО с присвоением кредитов.</w:t>
      </w:r>
    </w:p>
    <w:p w:rsidR="0045577A" w:rsidRPr="0045577A" w:rsidRDefault="0045577A" w:rsidP="0045577A">
      <w:pPr>
        <w:pStyle w:val="a3"/>
        <w:rPr>
          <w:color w:val="020202"/>
          <w:sz w:val="28"/>
          <w:szCs w:val="28"/>
        </w:rPr>
      </w:pPr>
      <w:r w:rsidRPr="0045577A">
        <w:rPr>
          <w:color w:val="020202"/>
          <w:sz w:val="28"/>
          <w:szCs w:val="28"/>
        </w:rPr>
        <w:t>На данный момент доступно 2 модуля и их количество будет увеличиваться.</w:t>
      </w:r>
    </w:p>
    <w:p w:rsidR="0045577A" w:rsidRPr="0045577A" w:rsidRDefault="0045577A" w:rsidP="0045577A">
      <w:pPr>
        <w:pStyle w:val="a3"/>
        <w:rPr>
          <w:color w:val="020202"/>
          <w:sz w:val="28"/>
          <w:szCs w:val="28"/>
        </w:rPr>
      </w:pPr>
      <w:r w:rsidRPr="0045577A">
        <w:rPr>
          <w:color w:val="020202"/>
          <w:sz w:val="28"/>
          <w:szCs w:val="28"/>
        </w:rPr>
        <w:t>Для того чтобы использовать возможность самостоятельного обучения в системе НМО, перейдите в свой личный кабинет (напомним, его создание обязательное условие для участия в системе). Далее выберите строку «перечень электронных учебных модулей для НМО» в строке Комиссия верхнего меню или нажмите вторую сверху кнопку левой панели (рис 1)</w:t>
      </w:r>
    </w:p>
    <w:p w:rsidR="0045577A" w:rsidRPr="0045577A" w:rsidRDefault="0045577A" w:rsidP="0045577A">
      <w:pPr>
        <w:pStyle w:val="a3"/>
        <w:rPr>
          <w:color w:val="020202"/>
          <w:sz w:val="28"/>
          <w:szCs w:val="28"/>
        </w:rPr>
      </w:pPr>
      <w:r w:rsidRPr="0045577A">
        <w:rPr>
          <w:color w:val="020202"/>
          <w:sz w:val="28"/>
          <w:szCs w:val="28"/>
        </w:rPr>
        <w:t>Перейдя на страницу электронных образовательных модулей, в строке Специальность выберите из выпадающего списка «Управление сестринской деятельностью» и нажмите кнопку «Выбрать» (рис 2)</w:t>
      </w:r>
    </w:p>
    <w:p w:rsidR="0045577A" w:rsidRPr="0045577A" w:rsidRDefault="0045577A" w:rsidP="0045577A">
      <w:pPr>
        <w:pStyle w:val="a3"/>
        <w:rPr>
          <w:color w:val="020202"/>
          <w:sz w:val="28"/>
          <w:szCs w:val="28"/>
        </w:rPr>
      </w:pPr>
      <w:r w:rsidRPr="0045577A">
        <w:rPr>
          <w:color w:val="020202"/>
          <w:sz w:val="28"/>
          <w:szCs w:val="28"/>
        </w:rPr>
        <w:t>В появившемся окне будут перечислены все доступные модули (на сегодня их 2), выберите тот, который Вас заинтересовал, щелкните по его названию, прочитайте описание, уточните (в нижней части строки) количество кредитов, присваиваемых за его изучение и приступайте к обучению, следуя инструкциям портала. (</w:t>
      </w:r>
      <w:proofErr w:type="gramStart"/>
      <w:r w:rsidRPr="0045577A">
        <w:rPr>
          <w:color w:val="020202"/>
          <w:sz w:val="28"/>
          <w:szCs w:val="28"/>
        </w:rPr>
        <w:t>рис</w:t>
      </w:r>
      <w:proofErr w:type="gramEnd"/>
      <w:r w:rsidRPr="0045577A">
        <w:rPr>
          <w:color w:val="020202"/>
          <w:sz w:val="28"/>
          <w:szCs w:val="28"/>
        </w:rPr>
        <w:t xml:space="preserve"> 3)</w:t>
      </w:r>
    </w:p>
    <w:p w:rsidR="0045577A" w:rsidRPr="0045577A" w:rsidRDefault="0045577A" w:rsidP="0045577A">
      <w:pPr>
        <w:pStyle w:val="a3"/>
        <w:rPr>
          <w:color w:val="020202"/>
          <w:sz w:val="28"/>
          <w:szCs w:val="28"/>
        </w:rPr>
      </w:pPr>
      <w:r w:rsidRPr="0045577A">
        <w:rPr>
          <w:color w:val="020202"/>
          <w:sz w:val="28"/>
          <w:szCs w:val="28"/>
        </w:rPr>
        <w:t>Приятной работы!</w:t>
      </w:r>
    </w:p>
    <w:p w:rsidR="0045577A" w:rsidRDefault="0045577A" w:rsidP="0045577A">
      <w:pPr>
        <w:pStyle w:val="a3"/>
        <w:rPr>
          <w:rFonts w:ascii="Tahoma" w:hAnsi="Tahoma" w:cs="Tahoma"/>
          <w:color w:val="020202"/>
          <w:sz w:val="18"/>
          <w:szCs w:val="18"/>
        </w:rPr>
      </w:pPr>
      <w:r>
        <w:rPr>
          <w:rFonts w:ascii="Tahoma" w:hAnsi="Tahoma" w:cs="Tahoma"/>
          <w:color w:val="020202"/>
          <w:sz w:val="18"/>
          <w:szCs w:val="18"/>
        </w:rPr>
        <w:t> </w:t>
      </w:r>
    </w:p>
    <w:p w:rsidR="0045577A" w:rsidRDefault="0045577A" w:rsidP="0045577A">
      <w:pPr>
        <w:pStyle w:val="a3"/>
        <w:rPr>
          <w:rFonts w:ascii="Tahoma" w:hAnsi="Tahoma" w:cs="Tahoma"/>
          <w:color w:val="020202"/>
          <w:sz w:val="18"/>
          <w:szCs w:val="18"/>
        </w:rPr>
      </w:pPr>
      <w:r>
        <w:rPr>
          <w:rStyle w:val="a4"/>
          <w:rFonts w:ascii="Tahoma" w:hAnsi="Tahoma" w:cs="Tahoma"/>
          <w:color w:val="020202"/>
          <w:sz w:val="18"/>
          <w:szCs w:val="18"/>
        </w:rPr>
        <w:t>Рисунок 1.</w:t>
      </w:r>
    </w:p>
    <w:p w:rsidR="0045577A" w:rsidRDefault="0045577A" w:rsidP="0045577A">
      <w:pPr>
        <w:pStyle w:val="a3"/>
        <w:rPr>
          <w:rFonts w:ascii="Tahoma" w:hAnsi="Tahoma" w:cs="Tahoma"/>
          <w:color w:val="020202"/>
          <w:sz w:val="18"/>
          <w:szCs w:val="18"/>
        </w:rPr>
      </w:pPr>
      <w:r>
        <w:rPr>
          <w:rFonts w:ascii="Tahoma" w:hAnsi="Tahoma" w:cs="Tahoma"/>
          <w:b/>
          <w:bCs/>
          <w:noProof/>
          <w:color w:val="020202"/>
          <w:sz w:val="18"/>
          <w:szCs w:val="18"/>
        </w:rPr>
        <w:drawing>
          <wp:inline distT="0" distB="0" distL="0" distR="0" wp14:anchorId="29B52457" wp14:editId="66F14433">
            <wp:extent cx="5876925" cy="3404820"/>
            <wp:effectExtent l="0" t="0" r="0" b="5715"/>
            <wp:docPr id="1" name="Рисунок 1" descr="http://www.medsestre.ru/files/pimg/nmo/mo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sestre.ru/files/pimg/nmo/mod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5833" cy="3450536"/>
                    </a:xfrm>
                    <a:prstGeom prst="rect">
                      <a:avLst/>
                    </a:prstGeom>
                    <a:noFill/>
                    <a:ln>
                      <a:noFill/>
                    </a:ln>
                  </pic:spPr>
                </pic:pic>
              </a:graphicData>
            </a:graphic>
          </wp:inline>
        </w:drawing>
      </w:r>
    </w:p>
    <w:p w:rsidR="0045577A" w:rsidRDefault="0045577A" w:rsidP="0045577A">
      <w:pPr>
        <w:pStyle w:val="a3"/>
        <w:rPr>
          <w:rFonts w:ascii="Tahoma" w:hAnsi="Tahoma" w:cs="Tahoma"/>
          <w:color w:val="020202"/>
          <w:sz w:val="18"/>
          <w:szCs w:val="18"/>
        </w:rPr>
      </w:pPr>
      <w:r>
        <w:rPr>
          <w:rStyle w:val="a4"/>
          <w:rFonts w:ascii="Tahoma" w:hAnsi="Tahoma" w:cs="Tahoma"/>
          <w:color w:val="020202"/>
          <w:sz w:val="18"/>
          <w:szCs w:val="18"/>
        </w:rPr>
        <w:lastRenderedPageBreak/>
        <w:t>Рисунок 2.</w:t>
      </w:r>
    </w:p>
    <w:p w:rsidR="0045577A" w:rsidRDefault="0045577A" w:rsidP="0045577A">
      <w:pPr>
        <w:pStyle w:val="a3"/>
        <w:rPr>
          <w:rFonts w:ascii="Tahoma" w:hAnsi="Tahoma" w:cs="Tahoma"/>
          <w:color w:val="020202"/>
          <w:sz w:val="18"/>
          <w:szCs w:val="18"/>
        </w:rPr>
      </w:pPr>
      <w:r>
        <w:rPr>
          <w:rFonts w:ascii="Tahoma" w:hAnsi="Tahoma" w:cs="Tahoma"/>
          <w:b/>
          <w:bCs/>
          <w:noProof/>
          <w:color w:val="020202"/>
          <w:sz w:val="18"/>
          <w:szCs w:val="18"/>
        </w:rPr>
        <w:drawing>
          <wp:inline distT="0" distB="0" distL="0" distR="0" wp14:anchorId="253FDDBF" wp14:editId="646F738D">
            <wp:extent cx="5771532" cy="3437666"/>
            <wp:effectExtent l="0" t="0" r="635" b="0"/>
            <wp:docPr id="2" name="Рисунок 2" descr="http://www.medsestre.ru/files/pimg/nmo/mo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sestre.ru/files/pimg/nmo/mod_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9683" cy="3460390"/>
                    </a:xfrm>
                    <a:prstGeom prst="rect">
                      <a:avLst/>
                    </a:prstGeom>
                    <a:noFill/>
                    <a:ln>
                      <a:noFill/>
                    </a:ln>
                  </pic:spPr>
                </pic:pic>
              </a:graphicData>
            </a:graphic>
          </wp:inline>
        </w:drawing>
      </w:r>
    </w:p>
    <w:p w:rsidR="0045577A" w:rsidRDefault="0045577A" w:rsidP="0045577A">
      <w:pPr>
        <w:pStyle w:val="a3"/>
        <w:rPr>
          <w:rFonts w:ascii="Tahoma" w:hAnsi="Tahoma" w:cs="Tahoma"/>
          <w:color w:val="020202"/>
          <w:sz w:val="18"/>
          <w:szCs w:val="18"/>
        </w:rPr>
      </w:pPr>
      <w:r>
        <w:rPr>
          <w:rStyle w:val="a4"/>
          <w:rFonts w:ascii="Tahoma" w:hAnsi="Tahoma" w:cs="Tahoma"/>
          <w:color w:val="020202"/>
          <w:sz w:val="18"/>
          <w:szCs w:val="18"/>
        </w:rPr>
        <w:t>Рисунок 3. </w:t>
      </w:r>
    </w:p>
    <w:p w:rsidR="0045577A" w:rsidRDefault="0045577A" w:rsidP="0045577A">
      <w:pPr>
        <w:pStyle w:val="a3"/>
        <w:rPr>
          <w:rFonts w:ascii="Tahoma" w:hAnsi="Tahoma" w:cs="Tahoma"/>
          <w:color w:val="020202"/>
          <w:sz w:val="18"/>
          <w:szCs w:val="18"/>
        </w:rPr>
      </w:pPr>
      <w:r>
        <w:rPr>
          <w:rFonts w:ascii="Tahoma" w:hAnsi="Tahoma" w:cs="Tahoma"/>
          <w:b/>
          <w:bCs/>
          <w:noProof/>
          <w:color w:val="020202"/>
          <w:sz w:val="18"/>
          <w:szCs w:val="18"/>
        </w:rPr>
        <w:drawing>
          <wp:inline distT="0" distB="0" distL="0" distR="0" wp14:anchorId="1E2AAE72" wp14:editId="06E6A3DA">
            <wp:extent cx="6087032" cy="3505173"/>
            <wp:effectExtent l="0" t="0" r="0" b="635"/>
            <wp:docPr id="3" name="Рисунок 3" descr="http://www.medsestre.ru/files/pimg/nmo/mo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sestre.ru/files/pimg/nmo/mod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2632" cy="3542949"/>
                    </a:xfrm>
                    <a:prstGeom prst="rect">
                      <a:avLst/>
                    </a:prstGeom>
                    <a:noFill/>
                    <a:ln>
                      <a:noFill/>
                    </a:ln>
                  </pic:spPr>
                </pic:pic>
              </a:graphicData>
            </a:graphic>
          </wp:inline>
        </w:drawing>
      </w:r>
    </w:p>
    <w:p w:rsidR="0045577A" w:rsidRDefault="0045577A" w:rsidP="0045577A">
      <w:pPr>
        <w:pStyle w:val="a3"/>
        <w:rPr>
          <w:rFonts w:ascii="Tahoma" w:hAnsi="Tahoma" w:cs="Tahoma"/>
          <w:color w:val="020202"/>
          <w:sz w:val="18"/>
          <w:szCs w:val="18"/>
        </w:rPr>
      </w:pPr>
      <w:r>
        <w:rPr>
          <w:rFonts w:ascii="Tahoma" w:hAnsi="Tahoma" w:cs="Tahoma"/>
          <w:color w:val="020202"/>
          <w:sz w:val="18"/>
          <w:szCs w:val="18"/>
        </w:rPr>
        <w:t> </w:t>
      </w:r>
    </w:p>
    <w:p w:rsidR="0045577A" w:rsidRDefault="0045577A" w:rsidP="0045577A">
      <w:pPr>
        <w:pStyle w:val="a3"/>
        <w:rPr>
          <w:rFonts w:ascii="Tahoma" w:hAnsi="Tahoma" w:cs="Tahoma"/>
          <w:color w:val="020202"/>
          <w:sz w:val="18"/>
          <w:szCs w:val="18"/>
        </w:rPr>
      </w:pPr>
      <w:hyperlink r:id="rId7" w:history="1">
        <w:r>
          <w:rPr>
            <w:rStyle w:val="a5"/>
            <w:rFonts w:ascii="Tahoma" w:hAnsi="Tahoma" w:cs="Tahoma"/>
            <w:color w:val="0C4DA2"/>
            <w:sz w:val="18"/>
            <w:szCs w:val="18"/>
          </w:rPr>
          <w:t>Скачать текст инструкции </w:t>
        </w:r>
      </w:hyperlink>
    </w:p>
    <w:p w:rsidR="003213A4" w:rsidRDefault="003213A4"/>
    <w:sectPr w:rsidR="003213A4" w:rsidSect="0045577A">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6F"/>
    <w:rsid w:val="003213A4"/>
    <w:rsid w:val="0045577A"/>
    <w:rsid w:val="008A4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D88CE-5C84-43BF-9B85-EFFD8304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5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577A"/>
    <w:rPr>
      <w:b/>
      <w:bCs/>
    </w:rPr>
  </w:style>
  <w:style w:type="character" w:styleId="a5">
    <w:name w:val="Hyperlink"/>
    <w:basedOn w:val="a0"/>
    <w:uiPriority w:val="99"/>
    <w:semiHidden/>
    <w:unhideWhenUsed/>
    <w:rsid w:val="00455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3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dsestre.ru/files/file/nmo/nmo_modul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2019-03-22T03:36:00Z</dcterms:created>
  <dcterms:modified xsi:type="dcterms:W3CDTF">2019-03-22T03:39:00Z</dcterms:modified>
</cp:coreProperties>
</file>